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19A" w:rsidRPr="00EB2C24" w:rsidRDefault="007F4D4D" w:rsidP="0003429A">
      <w:pPr>
        <w:spacing w:after="0" w:line="240" w:lineRule="auto"/>
        <w:jc w:val="center"/>
        <w:rPr>
          <w:rFonts w:ascii="Arial" w:hAnsi="Arial" w:cs="Arial"/>
          <w:b/>
          <w:sz w:val="32"/>
          <w:szCs w:val="24"/>
          <w:lang w:val="en"/>
        </w:rPr>
      </w:pPr>
      <w:r>
        <w:rPr>
          <w:rFonts w:ascii="Arial" w:hAnsi="Arial" w:cs="Arial"/>
          <w:b/>
          <w:sz w:val="32"/>
          <w:szCs w:val="24"/>
          <w:lang w:val="en"/>
        </w:rPr>
        <w:t xml:space="preserve">Crapo Statement at Markup of S. 2155, the “Economic Growth, Regulatory Relief and Consumer Protection Act.” </w:t>
      </w:r>
    </w:p>
    <w:p w:rsidR="007D419A" w:rsidRPr="00EB2C24" w:rsidRDefault="007D419A" w:rsidP="00856B4F">
      <w:pPr>
        <w:spacing w:after="0" w:line="240" w:lineRule="auto"/>
        <w:jc w:val="center"/>
        <w:rPr>
          <w:rFonts w:ascii="Arial" w:hAnsi="Arial" w:cs="Arial"/>
          <w:b/>
          <w:sz w:val="28"/>
          <w:szCs w:val="24"/>
          <w:lang w:val="en"/>
        </w:rPr>
      </w:pPr>
    </w:p>
    <w:p w:rsidR="00856B4F" w:rsidRDefault="00856B4F" w:rsidP="00856B4F">
      <w:pPr>
        <w:spacing w:after="0" w:line="240" w:lineRule="auto"/>
        <w:rPr>
          <w:rFonts w:ascii="Arial" w:hAnsi="Arial" w:cs="Arial"/>
          <w:sz w:val="24"/>
          <w:szCs w:val="24"/>
          <w:lang w:val="en"/>
        </w:rPr>
      </w:pPr>
      <w:r>
        <w:rPr>
          <w:rFonts w:ascii="Arial" w:hAnsi="Arial" w:cs="Arial"/>
          <w:sz w:val="24"/>
          <w:szCs w:val="24"/>
          <w:lang w:val="en"/>
        </w:rPr>
        <w:t xml:space="preserve">WASHINGTON – U.S. Senator Mike Crapo (R-Idaho), Chairman of the United States Senate Committee on Banking, Housing and Urban Affairs, today delivered the following remarks during a full committee markup of S. 2155, the “Economic Growth, Regulatory Relief and Consumer Protection Act.” </w:t>
      </w:r>
    </w:p>
    <w:p w:rsidR="00856B4F" w:rsidRDefault="00856B4F" w:rsidP="00856B4F">
      <w:pPr>
        <w:spacing w:after="0" w:line="240" w:lineRule="auto"/>
        <w:rPr>
          <w:rFonts w:ascii="Arial" w:hAnsi="Arial" w:cs="Arial"/>
          <w:sz w:val="24"/>
          <w:szCs w:val="24"/>
          <w:lang w:val="en"/>
        </w:rPr>
      </w:pPr>
    </w:p>
    <w:p w:rsidR="00856B4F" w:rsidRDefault="00856B4F" w:rsidP="00856B4F">
      <w:pPr>
        <w:spacing w:after="0" w:line="240" w:lineRule="auto"/>
        <w:rPr>
          <w:rFonts w:ascii="Arial" w:hAnsi="Arial" w:cs="Arial"/>
          <w:sz w:val="24"/>
          <w:szCs w:val="24"/>
          <w:lang w:val="en"/>
        </w:rPr>
      </w:pPr>
      <w:r>
        <w:rPr>
          <w:rFonts w:ascii="Arial" w:hAnsi="Arial" w:cs="Arial"/>
          <w:sz w:val="24"/>
          <w:szCs w:val="24"/>
          <w:lang w:val="en"/>
        </w:rPr>
        <w:t xml:space="preserve">The text of Chairman Crapo’s remarks, as prepared, is below. </w:t>
      </w:r>
    </w:p>
    <w:p w:rsidR="00856B4F" w:rsidRDefault="00856B4F" w:rsidP="00856B4F">
      <w:pPr>
        <w:spacing w:after="0" w:line="240" w:lineRule="auto"/>
        <w:rPr>
          <w:rFonts w:ascii="Arial" w:hAnsi="Arial" w:cs="Arial"/>
          <w:sz w:val="24"/>
          <w:szCs w:val="24"/>
        </w:rPr>
      </w:pPr>
    </w:p>
    <w:p w:rsidR="00856B4F" w:rsidRDefault="00856B4F" w:rsidP="00856B4F">
      <w:pPr>
        <w:spacing w:after="0" w:line="240" w:lineRule="auto"/>
        <w:rPr>
          <w:rFonts w:ascii="Arial" w:hAnsi="Arial" w:cs="Arial"/>
          <w:bCs/>
          <w:i/>
          <w:sz w:val="24"/>
          <w:szCs w:val="24"/>
          <w:u w:val="single"/>
        </w:rPr>
      </w:pPr>
      <w:r>
        <w:rPr>
          <w:rFonts w:ascii="Arial" w:hAnsi="Arial" w:cs="Arial"/>
          <w:bCs/>
          <w:sz w:val="24"/>
          <w:szCs w:val="24"/>
        </w:rPr>
        <w:t xml:space="preserve">“In March, the Banking Committee issued a request for legislative proposals to help foster economic growth. </w:t>
      </w:r>
    </w:p>
    <w:p w:rsidR="00856B4F" w:rsidRDefault="00856B4F" w:rsidP="00856B4F">
      <w:pPr>
        <w:spacing w:after="0" w:line="240" w:lineRule="auto"/>
        <w:rPr>
          <w:rFonts w:ascii="Arial" w:hAnsi="Arial" w:cs="Arial"/>
          <w:bCs/>
          <w:sz w:val="24"/>
          <w:szCs w:val="24"/>
        </w:rPr>
      </w:pPr>
    </w:p>
    <w:p w:rsidR="00856B4F" w:rsidRDefault="00856B4F" w:rsidP="00856B4F">
      <w:pPr>
        <w:spacing w:after="0" w:line="240" w:lineRule="auto"/>
        <w:rPr>
          <w:rFonts w:ascii="Arial" w:hAnsi="Arial" w:cs="Arial"/>
          <w:bCs/>
          <w:sz w:val="24"/>
          <w:szCs w:val="24"/>
        </w:rPr>
      </w:pPr>
      <w:r>
        <w:rPr>
          <w:rFonts w:ascii="Arial" w:hAnsi="Arial" w:cs="Arial"/>
          <w:bCs/>
          <w:sz w:val="24"/>
          <w:szCs w:val="24"/>
        </w:rPr>
        <w:t xml:space="preserve">“We received over 100 submissions from a broad array of commenters. </w:t>
      </w:r>
    </w:p>
    <w:p w:rsidR="00856B4F" w:rsidRDefault="00856B4F" w:rsidP="00856B4F">
      <w:pPr>
        <w:spacing w:after="0" w:line="240" w:lineRule="auto"/>
        <w:rPr>
          <w:rFonts w:ascii="Arial" w:hAnsi="Arial" w:cs="Arial"/>
          <w:bCs/>
          <w:sz w:val="24"/>
          <w:szCs w:val="24"/>
        </w:rPr>
      </w:pPr>
    </w:p>
    <w:p w:rsidR="00856B4F" w:rsidRDefault="00856B4F" w:rsidP="00856B4F">
      <w:pPr>
        <w:spacing w:after="0" w:line="240" w:lineRule="auto"/>
        <w:rPr>
          <w:rFonts w:ascii="Arial" w:hAnsi="Arial" w:cs="Arial"/>
          <w:bCs/>
          <w:sz w:val="24"/>
          <w:szCs w:val="24"/>
        </w:rPr>
      </w:pPr>
      <w:r>
        <w:rPr>
          <w:rFonts w:ascii="Arial" w:hAnsi="Arial" w:cs="Arial"/>
          <w:bCs/>
          <w:sz w:val="24"/>
          <w:szCs w:val="24"/>
        </w:rPr>
        <w:t xml:space="preserve">“We held bipartisan briefings and public hearings with stakeholders across the spectrum, vetting potential ideas for right-sizing regulation. </w:t>
      </w:r>
    </w:p>
    <w:p w:rsidR="00856B4F" w:rsidRDefault="00856B4F" w:rsidP="00856B4F">
      <w:pPr>
        <w:spacing w:after="0" w:line="240" w:lineRule="auto"/>
        <w:rPr>
          <w:rFonts w:ascii="Arial" w:hAnsi="Arial" w:cs="Arial"/>
          <w:bCs/>
          <w:sz w:val="24"/>
          <w:szCs w:val="24"/>
        </w:rPr>
      </w:pPr>
    </w:p>
    <w:p w:rsidR="00397967" w:rsidRPr="00397967" w:rsidRDefault="00397967" w:rsidP="00397967">
      <w:pPr>
        <w:spacing w:after="0" w:line="240" w:lineRule="auto"/>
        <w:rPr>
          <w:rFonts w:ascii="Arial" w:hAnsi="Arial" w:cs="Arial"/>
          <w:bCs/>
          <w:sz w:val="24"/>
          <w:szCs w:val="24"/>
        </w:rPr>
      </w:pPr>
      <w:r>
        <w:rPr>
          <w:rFonts w:ascii="Arial" w:hAnsi="Arial" w:cs="Arial"/>
          <w:bCs/>
          <w:sz w:val="24"/>
          <w:szCs w:val="24"/>
        </w:rPr>
        <w:t>“</w:t>
      </w:r>
      <w:r w:rsidRPr="00397967">
        <w:rPr>
          <w:rFonts w:ascii="Arial" w:hAnsi="Arial" w:cs="Arial"/>
          <w:bCs/>
          <w:sz w:val="24"/>
          <w:szCs w:val="24"/>
        </w:rPr>
        <w:t>We also conducted negotiations at all levels on the main provisions included in the final package.</w:t>
      </w:r>
    </w:p>
    <w:p w:rsidR="00397967" w:rsidRDefault="00397967" w:rsidP="00856B4F">
      <w:pPr>
        <w:spacing w:after="0" w:line="240" w:lineRule="auto"/>
        <w:rPr>
          <w:rFonts w:ascii="Arial" w:hAnsi="Arial" w:cs="Arial"/>
          <w:bCs/>
          <w:sz w:val="24"/>
          <w:szCs w:val="24"/>
        </w:rPr>
      </w:pPr>
    </w:p>
    <w:p w:rsidR="00856B4F" w:rsidRDefault="00856B4F" w:rsidP="00856B4F">
      <w:pPr>
        <w:spacing w:after="0" w:line="240" w:lineRule="auto"/>
        <w:rPr>
          <w:rFonts w:ascii="Arial" w:hAnsi="Arial" w:cs="Arial"/>
          <w:bCs/>
          <w:sz w:val="24"/>
          <w:szCs w:val="24"/>
        </w:rPr>
      </w:pPr>
      <w:r>
        <w:rPr>
          <w:rFonts w:ascii="Arial" w:hAnsi="Arial" w:cs="Arial"/>
          <w:bCs/>
          <w:sz w:val="24"/>
          <w:szCs w:val="24"/>
        </w:rPr>
        <w:t>“Our first hearing explored the role of financial companies in fostering economic growth with former regulator and consumer group witnesses, including the chief economist of AFL-CIO.</w:t>
      </w:r>
    </w:p>
    <w:p w:rsidR="00856B4F" w:rsidRDefault="00856B4F" w:rsidP="00856B4F">
      <w:pPr>
        <w:spacing w:after="0" w:line="240" w:lineRule="auto"/>
        <w:rPr>
          <w:rFonts w:ascii="Arial" w:hAnsi="Arial" w:cs="Arial"/>
          <w:bCs/>
          <w:sz w:val="24"/>
          <w:szCs w:val="24"/>
        </w:rPr>
      </w:pPr>
    </w:p>
    <w:p w:rsidR="00856B4F" w:rsidRDefault="00856B4F" w:rsidP="00856B4F">
      <w:pPr>
        <w:spacing w:after="0" w:line="240" w:lineRule="auto"/>
        <w:rPr>
          <w:rFonts w:ascii="Arial" w:hAnsi="Arial" w:cs="Arial"/>
          <w:bCs/>
          <w:sz w:val="24"/>
          <w:szCs w:val="24"/>
        </w:rPr>
      </w:pPr>
      <w:r>
        <w:rPr>
          <w:rFonts w:ascii="Arial" w:hAnsi="Arial" w:cs="Arial"/>
          <w:bCs/>
          <w:sz w:val="24"/>
          <w:szCs w:val="24"/>
        </w:rPr>
        <w:t xml:space="preserve">“At our next two hearings, we examined proposals that would tailor existing laws and regulations to ensure that they are proportionate and appropriate for small financial institutions, as well as midsize and regional banks. </w:t>
      </w:r>
    </w:p>
    <w:p w:rsidR="00856B4F" w:rsidRDefault="00856B4F" w:rsidP="00856B4F">
      <w:pPr>
        <w:spacing w:after="0" w:line="240" w:lineRule="auto"/>
        <w:rPr>
          <w:rFonts w:ascii="Arial" w:hAnsi="Arial" w:cs="Arial"/>
          <w:bCs/>
          <w:sz w:val="24"/>
          <w:szCs w:val="24"/>
        </w:rPr>
      </w:pPr>
    </w:p>
    <w:p w:rsidR="00856B4F" w:rsidRDefault="00856B4F" w:rsidP="00856B4F">
      <w:pPr>
        <w:spacing w:after="0" w:line="240" w:lineRule="auto"/>
        <w:rPr>
          <w:rFonts w:ascii="Arial" w:hAnsi="Arial" w:cs="Arial"/>
          <w:bCs/>
          <w:sz w:val="24"/>
          <w:szCs w:val="24"/>
        </w:rPr>
      </w:pPr>
      <w:r>
        <w:rPr>
          <w:rFonts w:ascii="Arial" w:hAnsi="Arial" w:cs="Arial"/>
          <w:bCs/>
          <w:sz w:val="24"/>
          <w:szCs w:val="24"/>
        </w:rPr>
        <w:t xml:space="preserve">“Then in June, the financial regulators came before this Committee and provided feedback on their EGRPRA report and the proposals discussed in previous hearings.  </w:t>
      </w:r>
    </w:p>
    <w:p w:rsidR="00856B4F" w:rsidRDefault="00856B4F" w:rsidP="00856B4F">
      <w:pPr>
        <w:spacing w:after="0" w:line="240" w:lineRule="auto"/>
        <w:rPr>
          <w:rFonts w:ascii="Arial" w:hAnsi="Arial" w:cs="Arial"/>
          <w:bCs/>
          <w:sz w:val="24"/>
          <w:szCs w:val="24"/>
        </w:rPr>
      </w:pPr>
    </w:p>
    <w:p w:rsidR="00856B4F" w:rsidRDefault="00856B4F" w:rsidP="00856B4F">
      <w:pPr>
        <w:spacing w:after="0" w:line="240" w:lineRule="auto"/>
        <w:rPr>
          <w:rFonts w:ascii="Arial" w:hAnsi="Arial" w:cs="Arial"/>
          <w:bCs/>
          <w:sz w:val="24"/>
          <w:szCs w:val="24"/>
        </w:rPr>
      </w:pPr>
      <w:r>
        <w:rPr>
          <w:rFonts w:ascii="Arial" w:hAnsi="Arial" w:cs="Arial"/>
          <w:bCs/>
          <w:sz w:val="24"/>
          <w:szCs w:val="24"/>
        </w:rPr>
        <w:t xml:space="preserve">“This Committee also held numerous hearings in prior years exploring many of these same issues, including a series of hearings in 2015. </w:t>
      </w:r>
    </w:p>
    <w:p w:rsidR="00856B4F" w:rsidRDefault="00856B4F" w:rsidP="00856B4F">
      <w:pPr>
        <w:spacing w:after="0" w:line="240" w:lineRule="auto"/>
        <w:rPr>
          <w:rFonts w:ascii="Arial" w:hAnsi="Arial" w:cs="Arial"/>
          <w:bCs/>
          <w:sz w:val="24"/>
          <w:szCs w:val="24"/>
        </w:rPr>
      </w:pPr>
    </w:p>
    <w:p w:rsidR="00856B4F" w:rsidRDefault="00856B4F" w:rsidP="00856B4F">
      <w:pPr>
        <w:spacing w:after="0" w:line="240" w:lineRule="auto"/>
        <w:rPr>
          <w:rFonts w:ascii="Arial" w:hAnsi="Arial" w:cs="Arial"/>
          <w:bCs/>
          <w:sz w:val="24"/>
          <w:szCs w:val="24"/>
        </w:rPr>
      </w:pPr>
      <w:r>
        <w:rPr>
          <w:rFonts w:ascii="Arial" w:hAnsi="Arial" w:cs="Arial"/>
          <w:bCs/>
          <w:sz w:val="24"/>
          <w:szCs w:val="24"/>
        </w:rPr>
        <w:t xml:space="preserve">“The bill we are marking up today, the Economic Growth, Regulatory Relief and Consumer Protection Act, is the outgrowth of the feedback and input garnered from this process, previous Congressional hearings, and discussions and input from members of this committee. </w:t>
      </w:r>
    </w:p>
    <w:p w:rsidR="00856B4F" w:rsidRDefault="00856B4F" w:rsidP="00856B4F">
      <w:pPr>
        <w:spacing w:after="0" w:line="240" w:lineRule="auto"/>
        <w:rPr>
          <w:rFonts w:ascii="Arial" w:hAnsi="Arial" w:cs="Arial"/>
          <w:bCs/>
          <w:sz w:val="24"/>
          <w:szCs w:val="24"/>
        </w:rPr>
      </w:pPr>
    </w:p>
    <w:p w:rsidR="00856B4F" w:rsidRDefault="00397967" w:rsidP="00856B4F">
      <w:pPr>
        <w:spacing w:after="0" w:line="240" w:lineRule="auto"/>
        <w:rPr>
          <w:rFonts w:ascii="Arial" w:hAnsi="Arial" w:cs="Arial"/>
          <w:bCs/>
          <w:sz w:val="24"/>
          <w:szCs w:val="24"/>
        </w:rPr>
      </w:pPr>
      <w:r>
        <w:rPr>
          <w:rFonts w:ascii="Arial" w:hAnsi="Arial" w:cs="Arial"/>
          <w:bCs/>
          <w:sz w:val="24"/>
          <w:szCs w:val="24"/>
        </w:rPr>
        <w:t>“</w:t>
      </w:r>
      <w:r w:rsidRPr="00397967">
        <w:rPr>
          <w:rFonts w:ascii="Arial" w:hAnsi="Arial" w:cs="Arial"/>
          <w:bCs/>
          <w:sz w:val="24"/>
          <w:szCs w:val="24"/>
        </w:rPr>
        <w:t xml:space="preserve">I thank each member of this committee for their interest and involvement in the many discussions, hearings and personal conversations to help improve this bill.  </w:t>
      </w:r>
    </w:p>
    <w:p w:rsidR="00856B4F" w:rsidRDefault="00856B4F" w:rsidP="00856B4F">
      <w:pPr>
        <w:spacing w:after="0" w:line="240" w:lineRule="auto"/>
        <w:rPr>
          <w:rFonts w:ascii="Arial" w:hAnsi="Arial" w:cs="Arial"/>
          <w:bCs/>
          <w:sz w:val="24"/>
          <w:szCs w:val="24"/>
        </w:rPr>
      </w:pPr>
      <w:r>
        <w:rPr>
          <w:rFonts w:ascii="Arial" w:hAnsi="Arial" w:cs="Arial"/>
          <w:bCs/>
          <w:sz w:val="24"/>
          <w:szCs w:val="24"/>
        </w:rPr>
        <w:lastRenderedPageBreak/>
        <w:t xml:space="preserve">“For community banks and credit unions, we: extend QM safe harbor status to loans held in portfolio by small lenders; provide substantial relief from HMDA reporting requirements; simplify the capital regime for highly-capitalized community banks; </w:t>
      </w:r>
      <w:r w:rsidR="00397967">
        <w:rPr>
          <w:rFonts w:ascii="Arial" w:hAnsi="Arial" w:cs="Arial"/>
          <w:bCs/>
          <w:sz w:val="24"/>
          <w:szCs w:val="24"/>
        </w:rPr>
        <w:t xml:space="preserve">and </w:t>
      </w:r>
      <w:r>
        <w:rPr>
          <w:rFonts w:ascii="Arial" w:hAnsi="Arial" w:cs="Arial"/>
          <w:bCs/>
          <w:sz w:val="24"/>
          <w:szCs w:val="24"/>
        </w:rPr>
        <w:t>exempt banks with less than $10 billion in total assets from the Volcker rule</w:t>
      </w:r>
      <w:r w:rsidR="00397967">
        <w:rPr>
          <w:rFonts w:ascii="Arial" w:hAnsi="Arial" w:cs="Arial"/>
          <w:bCs/>
          <w:sz w:val="24"/>
          <w:szCs w:val="24"/>
        </w:rPr>
        <w:t>.</w:t>
      </w:r>
      <w:r>
        <w:rPr>
          <w:rFonts w:ascii="Arial" w:hAnsi="Arial" w:cs="Arial"/>
          <w:bCs/>
          <w:sz w:val="24"/>
          <w:szCs w:val="24"/>
        </w:rPr>
        <w:t xml:space="preserve"> </w:t>
      </w:r>
    </w:p>
    <w:p w:rsidR="00856B4F" w:rsidRDefault="00856B4F" w:rsidP="00856B4F">
      <w:pPr>
        <w:spacing w:after="0" w:line="240" w:lineRule="auto"/>
        <w:rPr>
          <w:rFonts w:ascii="Arial" w:hAnsi="Arial" w:cs="Arial"/>
          <w:bCs/>
          <w:sz w:val="24"/>
          <w:szCs w:val="24"/>
        </w:rPr>
      </w:pPr>
    </w:p>
    <w:p w:rsidR="00856B4F" w:rsidRDefault="00856B4F" w:rsidP="00856B4F">
      <w:pPr>
        <w:spacing w:after="0" w:line="240" w:lineRule="auto"/>
        <w:rPr>
          <w:rFonts w:ascii="Arial" w:hAnsi="Arial" w:cs="Arial"/>
          <w:bCs/>
          <w:sz w:val="24"/>
          <w:szCs w:val="24"/>
        </w:rPr>
      </w:pPr>
      <w:r>
        <w:rPr>
          <w:rFonts w:ascii="Arial" w:hAnsi="Arial" w:cs="Arial"/>
          <w:bCs/>
          <w:sz w:val="24"/>
          <w:szCs w:val="24"/>
        </w:rPr>
        <w:t xml:space="preserve">“For mid-size and regional banks, we: tailor regulations and prudential standards of banking organizations by changing the $50 billion SIFI threshold. Banks with less than $100 billion in assets, who do not pose the same risks as globally systemic banks, are exempt from enhanced prudential standards. Banks between $100 and $250 billion are presumed exempt 18 months after enactment, but the Federal Reserve retains authority to apply enhanced prudential standards if appropriate. In addition, the Fed will still be required to conduct periodic supervisory stress tests of such banks. </w:t>
      </w:r>
    </w:p>
    <w:p w:rsidR="00856B4F" w:rsidRDefault="00856B4F" w:rsidP="00856B4F">
      <w:pPr>
        <w:spacing w:after="0" w:line="240" w:lineRule="auto"/>
        <w:rPr>
          <w:rFonts w:ascii="Arial" w:hAnsi="Arial" w:cs="Arial"/>
          <w:bCs/>
          <w:sz w:val="24"/>
          <w:szCs w:val="24"/>
        </w:rPr>
      </w:pPr>
    </w:p>
    <w:p w:rsidR="00856B4F" w:rsidRDefault="00856B4F" w:rsidP="00856B4F">
      <w:pPr>
        <w:spacing w:after="0" w:line="240" w:lineRule="auto"/>
        <w:rPr>
          <w:rFonts w:ascii="Arial" w:hAnsi="Arial" w:cs="Arial"/>
          <w:sz w:val="24"/>
          <w:szCs w:val="24"/>
        </w:rPr>
      </w:pPr>
      <w:r>
        <w:rPr>
          <w:rFonts w:ascii="Arial" w:hAnsi="Arial" w:cs="Arial"/>
          <w:bCs/>
          <w:sz w:val="24"/>
          <w:szCs w:val="24"/>
        </w:rPr>
        <w:t>“</w:t>
      </w:r>
      <w:r>
        <w:rPr>
          <w:rFonts w:ascii="Arial" w:hAnsi="Arial" w:cs="Arial"/>
          <w:sz w:val="24"/>
          <w:szCs w:val="24"/>
        </w:rPr>
        <w:t xml:space="preserve">The bill also ensures that key consumer protections remain in place, while bolstering and  increasing protections for consumers who fall on hard financial times or become victims of fraud. </w:t>
      </w:r>
    </w:p>
    <w:p w:rsidR="00856B4F" w:rsidRDefault="00856B4F" w:rsidP="00856B4F">
      <w:pPr>
        <w:spacing w:after="0" w:line="240" w:lineRule="auto"/>
        <w:rPr>
          <w:rFonts w:ascii="Arial" w:hAnsi="Arial" w:cs="Arial"/>
          <w:bCs/>
          <w:sz w:val="24"/>
          <w:szCs w:val="24"/>
        </w:rPr>
      </w:pPr>
    </w:p>
    <w:p w:rsidR="00856B4F" w:rsidRDefault="00856B4F" w:rsidP="00856B4F">
      <w:pPr>
        <w:spacing w:after="0" w:line="240" w:lineRule="auto"/>
        <w:rPr>
          <w:rFonts w:ascii="Arial" w:hAnsi="Arial" w:cs="Arial"/>
          <w:bCs/>
          <w:sz w:val="24"/>
          <w:szCs w:val="24"/>
        </w:rPr>
      </w:pPr>
      <w:r>
        <w:rPr>
          <w:rFonts w:ascii="Arial" w:hAnsi="Arial" w:cs="Arial"/>
          <w:bCs/>
          <w:sz w:val="24"/>
          <w:szCs w:val="24"/>
        </w:rPr>
        <w:t xml:space="preserve">“Following the Equifax data breach, we held two credit bureau hearings. </w:t>
      </w:r>
    </w:p>
    <w:p w:rsidR="00856B4F" w:rsidRDefault="00856B4F" w:rsidP="00856B4F">
      <w:pPr>
        <w:spacing w:after="0" w:line="240" w:lineRule="auto"/>
        <w:rPr>
          <w:rFonts w:ascii="Arial" w:hAnsi="Arial" w:cs="Arial"/>
          <w:bCs/>
          <w:sz w:val="24"/>
          <w:szCs w:val="24"/>
        </w:rPr>
      </w:pPr>
    </w:p>
    <w:p w:rsidR="00856B4F" w:rsidRDefault="00856B4F" w:rsidP="00856B4F">
      <w:pPr>
        <w:spacing w:after="0" w:line="240" w:lineRule="auto"/>
        <w:rPr>
          <w:rFonts w:ascii="Arial" w:hAnsi="Arial" w:cs="Arial"/>
          <w:bCs/>
          <w:sz w:val="24"/>
          <w:szCs w:val="24"/>
        </w:rPr>
      </w:pPr>
      <w:r>
        <w:rPr>
          <w:rFonts w:ascii="Arial" w:hAnsi="Arial" w:cs="Arial"/>
          <w:bCs/>
          <w:sz w:val="24"/>
          <w:szCs w:val="24"/>
        </w:rPr>
        <w:t xml:space="preserve">“These hearings demonstrated bipartisan support for: free credit freezes and unfreezes; and additional protections for veterans, senior citizens, and people who fall on tough financial times. </w:t>
      </w:r>
    </w:p>
    <w:p w:rsidR="00856B4F" w:rsidRDefault="00856B4F" w:rsidP="00856B4F">
      <w:pPr>
        <w:spacing w:after="0" w:line="240" w:lineRule="auto"/>
        <w:rPr>
          <w:rFonts w:ascii="Arial" w:hAnsi="Arial" w:cs="Arial"/>
          <w:bCs/>
          <w:sz w:val="24"/>
          <w:szCs w:val="24"/>
        </w:rPr>
      </w:pPr>
    </w:p>
    <w:p w:rsidR="00856B4F" w:rsidRDefault="00856B4F" w:rsidP="00856B4F">
      <w:pPr>
        <w:spacing w:after="0" w:line="240" w:lineRule="auto"/>
        <w:rPr>
          <w:rFonts w:ascii="Arial" w:hAnsi="Arial" w:cs="Arial"/>
          <w:bCs/>
          <w:sz w:val="24"/>
          <w:szCs w:val="24"/>
        </w:rPr>
      </w:pPr>
      <w:r>
        <w:rPr>
          <w:rFonts w:ascii="Arial" w:hAnsi="Arial" w:cs="Arial"/>
          <w:bCs/>
          <w:sz w:val="24"/>
          <w:szCs w:val="24"/>
        </w:rPr>
        <w:t xml:space="preserve">“Introduced by 10 Republicans and 10 Democrats, including 13 members of this committee, this package of commonsense reforms recognizes that it is important to tailor regulation appropriately, especially for community banks, credit unions and regional banks. </w:t>
      </w:r>
    </w:p>
    <w:p w:rsidR="00856B4F" w:rsidRDefault="00856B4F" w:rsidP="00856B4F">
      <w:pPr>
        <w:spacing w:after="0" w:line="240" w:lineRule="auto"/>
        <w:rPr>
          <w:rFonts w:ascii="Arial" w:hAnsi="Arial" w:cs="Arial"/>
          <w:bCs/>
          <w:sz w:val="24"/>
          <w:szCs w:val="24"/>
        </w:rPr>
      </w:pPr>
    </w:p>
    <w:p w:rsidR="00856B4F" w:rsidRDefault="00856B4F" w:rsidP="00856B4F">
      <w:pPr>
        <w:spacing w:after="0" w:line="240" w:lineRule="auto"/>
        <w:rPr>
          <w:rFonts w:ascii="Arial" w:hAnsi="Arial" w:cs="Arial"/>
          <w:bCs/>
          <w:sz w:val="24"/>
          <w:szCs w:val="24"/>
        </w:rPr>
      </w:pPr>
      <w:r>
        <w:rPr>
          <w:rFonts w:ascii="Arial" w:hAnsi="Arial" w:cs="Arial"/>
          <w:bCs/>
          <w:sz w:val="24"/>
          <w:szCs w:val="24"/>
        </w:rPr>
        <w:t xml:space="preserve">“The bill has received widespread support from commentators, regulators, businesses, and institutions representing millions of hard working Americans and consumers, including over 10,000 community bankers, more than 100 million credit union consumer members, and thousands of small business owners and entrepreneurs, among others. </w:t>
      </w:r>
    </w:p>
    <w:p w:rsidR="00856B4F" w:rsidRDefault="00856B4F" w:rsidP="00856B4F">
      <w:pPr>
        <w:spacing w:after="0" w:line="240" w:lineRule="auto"/>
        <w:rPr>
          <w:rFonts w:ascii="Arial" w:hAnsi="Arial" w:cs="Arial"/>
          <w:bCs/>
          <w:sz w:val="24"/>
          <w:szCs w:val="24"/>
        </w:rPr>
      </w:pPr>
    </w:p>
    <w:p w:rsidR="00856B4F" w:rsidRDefault="00856B4F" w:rsidP="00856B4F">
      <w:pPr>
        <w:spacing w:after="0" w:line="240" w:lineRule="auto"/>
        <w:rPr>
          <w:rFonts w:ascii="Arial" w:hAnsi="Arial" w:cs="Arial"/>
          <w:bCs/>
          <w:sz w:val="24"/>
          <w:szCs w:val="24"/>
        </w:rPr>
      </w:pPr>
      <w:r>
        <w:rPr>
          <w:rFonts w:ascii="Arial" w:hAnsi="Arial" w:cs="Arial"/>
          <w:bCs/>
          <w:sz w:val="24"/>
          <w:szCs w:val="24"/>
        </w:rPr>
        <w:t xml:space="preserve">“At this time, I ask unanimous consent to enter into the record the support letters we have received from various stakeholders, including: </w:t>
      </w:r>
    </w:p>
    <w:p w:rsidR="00856B4F" w:rsidRDefault="00856B4F" w:rsidP="00856B4F">
      <w:pPr>
        <w:pStyle w:val="ListParagraph"/>
        <w:spacing w:after="0" w:line="240" w:lineRule="auto"/>
        <w:rPr>
          <w:rFonts w:ascii="Arial" w:hAnsi="Arial" w:cs="Arial"/>
          <w:bCs/>
          <w:sz w:val="24"/>
          <w:szCs w:val="24"/>
        </w:rPr>
      </w:pPr>
    </w:p>
    <w:p w:rsidR="00856B4F" w:rsidRDefault="00856B4F" w:rsidP="00856B4F">
      <w:pPr>
        <w:pStyle w:val="ListParagraph"/>
        <w:numPr>
          <w:ilvl w:val="1"/>
          <w:numId w:val="9"/>
        </w:numPr>
        <w:spacing w:after="0" w:line="240" w:lineRule="auto"/>
        <w:rPr>
          <w:rFonts w:ascii="Arial" w:hAnsi="Arial" w:cs="Arial"/>
          <w:bCs/>
          <w:sz w:val="24"/>
          <w:szCs w:val="24"/>
        </w:rPr>
      </w:pPr>
      <w:r>
        <w:rPr>
          <w:rFonts w:ascii="Arial" w:hAnsi="Arial" w:cs="Arial"/>
          <w:bCs/>
          <w:sz w:val="24"/>
          <w:szCs w:val="24"/>
        </w:rPr>
        <w:t xml:space="preserve">The Credit Union National Association; </w:t>
      </w:r>
    </w:p>
    <w:p w:rsidR="00856B4F" w:rsidRDefault="00856B4F" w:rsidP="00856B4F">
      <w:pPr>
        <w:pStyle w:val="ListParagraph"/>
        <w:numPr>
          <w:ilvl w:val="1"/>
          <w:numId w:val="9"/>
        </w:numPr>
        <w:spacing w:after="0" w:line="240" w:lineRule="auto"/>
        <w:rPr>
          <w:rFonts w:ascii="Arial" w:hAnsi="Arial" w:cs="Arial"/>
          <w:bCs/>
          <w:sz w:val="24"/>
          <w:szCs w:val="24"/>
        </w:rPr>
      </w:pPr>
      <w:r>
        <w:rPr>
          <w:rFonts w:ascii="Arial" w:hAnsi="Arial" w:cs="Arial"/>
          <w:bCs/>
          <w:sz w:val="24"/>
          <w:szCs w:val="24"/>
        </w:rPr>
        <w:t xml:space="preserve">The Independent Community Bankers of America; </w:t>
      </w:r>
    </w:p>
    <w:p w:rsidR="00856B4F" w:rsidRDefault="00856B4F" w:rsidP="00856B4F">
      <w:pPr>
        <w:pStyle w:val="ListParagraph"/>
        <w:numPr>
          <w:ilvl w:val="1"/>
          <w:numId w:val="9"/>
        </w:numPr>
        <w:spacing w:after="0" w:line="240" w:lineRule="auto"/>
        <w:rPr>
          <w:rFonts w:ascii="Arial" w:hAnsi="Arial" w:cs="Arial"/>
          <w:bCs/>
          <w:sz w:val="24"/>
          <w:szCs w:val="24"/>
        </w:rPr>
      </w:pPr>
      <w:r>
        <w:rPr>
          <w:rFonts w:ascii="Arial" w:hAnsi="Arial" w:cs="Arial"/>
          <w:bCs/>
          <w:sz w:val="24"/>
          <w:szCs w:val="24"/>
        </w:rPr>
        <w:t xml:space="preserve">The Insured Retirement Institute; </w:t>
      </w:r>
    </w:p>
    <w:p w:rsidR="00856B4F" w:rsidRDefault="00856B4F" w:rsidP="00856B4F">
      <w:pPr>
        <w:pStyle w:val="ListParagraph"/>
        <w:numPr>
          <w:ilvl w:val="1"/>
          <w:numId w:val="9"/>
        </w:numPr>
        <w:spacing w:after="0" w:line="240" w:lineRule="auto"/>
        <w:rPr>
          <w:rFonts w:ascii="Arial" w:hAnsi="Arial" w:cs="Arial"/>
          <w:bCs/>
          <w:sz w:val="24"/>
          <w:szCs w:val="24"/>
        </w:rPr>
      </w:pPr>
      <w:r>
        <w:rPr>
          <w:rFonts w:ascii="Arial" w:hAnsi="Arial" w:cs="Arial"/>
          <w:bCs/>
          <w:sz w:val="24"/>
          <w:szCs w:val="24"/>
        </w:rPr>
        <w:t>The Mid-Size Bank Coalition;</w:t>
      </w:r>
    </w:p>
    <w:p w:rsidR="00856B4F" w:rsidRDefault="00856B4F" w:rsidP="00856B4F">
      <w:pPr>
        <w:pStyle w:val="ListParagraph"/>
        <w:numPr>
          <w:ilvl w:val="1"/>
          <w:numId w:val="9"/>
        </w:numPr>
        <w:spacing w:after="0" w:line="240" w:lineRule="auto"/>
        <w:rPr>
          <w:rFonts w:ascii="Arial" w:hAnsi="Arial" w:cs="Arial"/>
          <w:bCs/>
          <w:sz w:val="24"/>
          <w:szCs w:val="24"/>
        </w:rPr>
      </w:pPr>
      <w:r>
        <w:rPr>
          <w:rFonts w:ascii="Arial" w:hAnsi="Arial" w:cs="Arial"/>
          <w:bCs/>
          <w:sz w:val="24"/>
          <w:szCs w:val="24"/>
        </w:rPr>
        <w:t xml:space="preserve">The National Association of Federal Credit Unions; </w:t>
      </w:r>
    </w:p>
    <w:p w:rsidR="00856B4F" w:rsidRDefault="00856B4F" w:rsidP="00856B4F">
      <w:pPr>
        <w:pStyle w:val="ListParagraph"/>
        <w:numPr>
          <w:ilvl w:val="1"/>
          <w:numId w:val="9"/>
        </w:numPr>
        <w:spacing w:after="0" w:line="240" w:lineRule="auto"/>
        <w:rPr>
          <w:rFonts w:ascii="Arial" w:hAnsi="Arial" w:cs="Arial"/>
          <w:bCs/>
          <w:sz w:val="24"/>
          <w:szCs w:val="24"/>
        </w:rPr>
      </w:pPr>
      <w:r>
        <w:rPr>
          <w:rFonts w:ascii="Arial" w:hAnsi="Arial" w:cs="Arial"/>
          <w:bCs/>
          <w:sz w:val="24"/>
          <w:szCs w:val="24"/>
        </w:rPr>
        <w:t xml:space="preserve">The National Association of Home Builders; </w:t>
      </w:r>
    </w:p>
    <w:p w:rsidR="00856B4F" w:rsidRDefault="00856B4F" w:rsidP="00856B4F">
      <w:pPr>
        <w:pStyle w:val="ListParagraph"/>
        <w:numPr>
          <w:ilvl w:val="1"/>
          <w:numId w:val="9"/>
        </w:numPr>
        <w:spacing w:after="0" w:line="240" w:lineRule="auto"/>
        <w:rPr>
          <w:rFonts w:ascii="Arial" w:hAnsi="Arial" w:cs="Arial"/>
          <w:bCs/>
          <w:sz w:val="24"/>
          <w:szCs w:val="24"/>
        </w:rPr>
      </w:pPr>
      <w:r>
        <w:rPr>
          <w:rFonts w:ascii="Arial" w:hAnsi="Arial" w:cs="Arial"/>
          <w:bCs/>
          <w:sz w:val="24"/>
          <w:szCs w:val="24"/>
        </w:rPr>
        <w:t xml:space="preserve">The U.S. Chamber of Commerce; </w:t>
      </w:r>
    </w:p>
    <w:p w:rsidR="00856B4F" w:rsidRDefault="00856B4F" w:rsidP="00856B4F">
      <w:pPr>
        <w:pStyle w:val="ListParagraph"/>
        <w:numPr>
          <w:ilvl w:val="1"/>
          <w:numId w:val="9"/>
        </w:numPr>
        <w:spacing w:after="0" w:line="240" w:lineRule="auto"/>
        <w:rPr>
          <w:rFonts w:ascii="Arial" w:hAnsi="Arial" w:cs="Arial"/>
          <w:bCs/>
          <w:sz w:val="24"/>
          <w:szCs w:val="24"/>
        </w:rPr>
      </w:pPr>
      <w:r>
        <w:rPr>
          <w:rFonts w:ascii="Arial" w:hAnsi="Arial" w:cs="Arial"/>
          <w:bCs/>
          <w:sz w:val="24"/>
          <w:szCs w:val="24"/>
        </w:rPr>
        <w:t>The Mortgage Bankers Association;</w:t>
      </w:r>
    </w:p>
    <w:p w:rsidR="00856B4F" w:rsidRDefault="00856B4F" w:rsidP="00856B4F">
      <w:pPr>
        <w:pStyle w:val="ListParagraph"/>
        <w:numPr>
          <w:ilvl w:val="1"/>
          <w:numId w:val="9"/>
        </w:numPr>
        <w:spacing w:after="0" w:line="240" w:lineRule="auto"/>
        <w:rPr>
          <w:rFonts w:ascii="Arial" w:hAnsi="Arial" w:cs="Arial"/>
          <w:bCs/>
          <w:sz w:val="24"/>
          <w:szCs w:val="24"/>
        </w:rPr>
      </w:pPr>
      <w:r>
        <w:rPr>
          <w:rFonts w:ascii="Arial" w:hAnsi="Arial" w:cs="Arial"/>
          <w:bCs/>
          <w:sz w:val="24"/>
          <w:szCs w:val="24"/>
        </w:rPr>
        <w:lastRenderedPageBreak/>
        <w:t xml:space="preserve">And others. </w:t>
      </w:r>
    </w:p>
    <w:p w:rsidR="00856B4F" w:rsidRDefault="00856B4F" w:rsidP="00856B4F">
      <w:pPr>
        <w:spacing w:after="0" w:line="240" w:lineRule="auto"/>
        <w:rPr>
          <w:rFonts w:ascii="Arial" w:hAnsi="Arial" w:cs="Arial"/>
          <w:bCs/>
          <w:sz w:val="24"/>
          <w:szCs w:val="24"/>
        </w:rPr>
      </w:pPr>
    </w:p>
    <w:p w:rsidR="00856B4F" w:rsidRDefault="00856B4F" w:rsidP="00856B4F">
      <w:pPr>
        <w:spacing w:after="0" w:line="240" w:lineRule="auto"/>
        <w:rPr>
          <w:rFonts w:ascii="Arial" w:hAnsi="Arial" w:cs="Arial"/>
          <w:bCs/>
          <w:sz w:val="24"/>
          <w:szCs w:val="24"/>
        </w:rPr>
      </w:pPr>
      <w:r>
        <w:rPr>
          <w:rFonts w:ascii="Arial" w:hAnsi="Arial" w:cs="Arial"/>
          <w:bCs/>
          <w:sz w:val="24"/>
          <w:szCs w:val="24"/>
        </w:rPr>
        <w:t xml:space="preserve">“As I mentioned, federal regulators have also been supportive of our efforts. </w:t>
      </w:r>
    </w:p>
    <w:p w:rsidR="00856B4F" w:rsidRDefault="00856B4F" w:rsidP="00856B4F">
      <w:pPr>
        <w:spacing w:after="0" w:line="240" w:lineRule="auto"/>
        <w:rPr>
          <w:rFonts w:ascii="Arial" w:hAnsi="Arial" w:cs="Arial"/>
          <w:bCs/>
          <w:sz w:val="24"/>
          <w:szCs w:val="24"/>
        </w:rPr>
      </w:pPr>
    </w:p>
    <w:p w:rsidR="00856B4F" w:rsidRDefault="00856B4F" w:rsidP="00856B4F">
      <w:pPr>
        <w:spacing w:after="0" w:line="240" w:lineRule="auto"/>
        <w:rPr>
          <w:rFonts w:ascii="Arial" w:hAnsi="Arial" w:cs="Arial"/>
          <w:bCs/>
          <w:sz w:val="24"/>
          <w:szCs w:val="24"/>
        </w:rPr>
      </w:pPr>
      <w:r>
        <w:rPr>
          <w:rFonts w:ascii="Arial" w:hAnsi="Arial" w:cs="Arial"/>
          <w:bCs/>
          <w:sz w:val="24"/>
          <w:szCs w:val="24"/>
        </w:rPr>
        <w:t xml:space="preserve">“Last week, Federal Reserve Governor Powell said that he agreed that this bill will provide significant regulatory relief, while still giving the Federal Reserve the authority it needs to supervise institutions. </w:t>
      </w:r>
    </w:p>
    <w:p w:rsidR="00856B4F" w:rsidRDefault="00856B4F" w:rsidP="00856B4F">
      <w:pPr>
        <w:spacing w:after="0" w:line="240" w:lineRule="auto"/>
        <w:rPr>
          <w:rFonts w:ascii="Arial" w:hAnsi="Arial" w:cs="Arial"/>
          <w:bCs/>
          <w:sz w:val="24"/>
          <w:szCs w:val="24"/>
        </w:rPr>
      </w:pPr>
    </w:p>
    <w:p w:rsidR="00856B4F" w:rsidRDefault="00856B4F" w:rsidP="00856B4F">
      <w:pPr>
        <w:spacing w:after="0" w:line="240" w:lineRule="auto"/>
        <w:rPr>
          <w:rFonts w:ascii="Arial" w:hAnsi="Arial" w:cs="Arial"/>
          <w:bCs/>
          <w:sz w:val="24"/>
          <w:szCs w:val="24"/>
        </w:rPr>
      </w:pPr>
      <w:r>
        <w:rPr>
          <w:rFonts w:ascii="Arial" w:hAnsi="Arial" w:cs="Arial"/>
          <w:bCs/>
          <w:sz w:val="24"/>
          <w:szCs w:val="24"/>
        </w:rPr>
        <w:t>“A day later, Federal Reserve Chair Janet Yellen</w:t>
      </w:r>
      <w:r w:rsidR="00397967">
        <w:rPr>
          <w:rFonts w:ascii="Arial" w:hAnsi="Arial" w:cs="Arial"/>
          <w:bCs/>
          <w:sz w:val="24"/>
          <w:szCs w:val="24"/>
        </w:rPr>
        <w:t>, testifying before the Joint Economic Committee,</w:t>
      </w:r>
      <w:r>
        <w:rPr>
          <w:rFonts w:ascii="Arial" w:hAnsi="Arial" w:cs="Arial"/>
          <w:bCs/>
          <w:sz w:val="24"/>
          <w:szCs w:val="24"/>
        </w:rPr>
        <w:t xml:space="preserve"> said that under the bill, the Fed would still be able to impose enhanced prudential standards on firms, if necessary, and that the bill is ‘a move in a direction that would be good in enabling [the Fed] to appropriately tailor [its] supervision.’</w:t>
      </w:r>
    </w:p>
    <w:p w:rsidR="00856B4F" w:rsidRDefault="00856B4F" w:rsidP="00856B4F">
      <w:pPr>
        <w:spacing w:after="0" w:line="240" w:lineRule="auto"/>
        <w:rPr>
          <w:rFonts w:ascii="Arial" w:hAnsi="Arial" w:cs="Arial"/>
          <w:bCs/>
          <w:sz w:val="24"/>
          <w:szCs w:val="24"/>
        </w:rPr>
      </w:pPr>
    </w:p>
    <w:p w:rsidR="00856B4F" w:rsidRDefault="00856B4F" w:rsidP="00856B4F">
      <w:pPr>
        <w:spacing w:after="0" w:line="240" w:lineRule="auto"/>
        <w:rPr>
          <w:rFonts w:ascii="Arial" w:hAnsi="Arial" w:cs="Arial"/>
          <w:bCs/>
          <w:sz w:val="24"/>
          <w:szCs w:val="24"/>
        </w:rPr>
      </w:pPr>
      <w:r>
        <w:rPr>
          <w:rFonts w:ascii="Arial" w:hAnsi="Arial" w:cs="Arial"/>
          <w:bCs/>
          <w:sz w:val="24"/>
          <w:szCs w:val="24"/>
        </w:rPr>
        <w:t xml:space="preserve">“Financial regulation should promote safety and soundness while enabling a vibrant and growing economy. </w:t>
      </w:r>
    </w:p>
    <w:p w:rsidR="00856B4F" w:rsidRDefault="00856B4F" w:rsidP="00856B4F">
      <w:pPr>
        <w:spacing w:after="0" w:line="240" w:lineRule="auto"/>
        <w:rPr>
          <w:rFonts w:ascii="Arial" w:hAnsi="Arial" w:cs="Arial"/>
          <w:bCs/>
          <w:sz w:val="24"/>
          <w:szCs w:val="24"/>
        </w:rPr>
      </w:pPr>
    </w:p>
    <w:p w:rsidR="00856B4F" w:rsidRDefault="00856B4F" w:rsidP="00856B4F">
      <w:pPr>
        <w:spacing w:after="0" w:line="240" w:lineRule="auto"/>
        <w:rPr>
          <w:rFonts w:ascii="Arial" w:hAnsi="Arial" w:cs="Arial"/>
          <w:bCs/>
          <w:sz w:val="24"/>
          <w:szCs w:val="24"/>
        </w:rPr>
      </w:pPr>
      <w:r>
        <w:rPr>
          <w:rFonts w:ascii="Arial" w:hAnsi="Arial" w:cs="Arial"/>
          <w:bCs/>
          <w:sz w:val="24"/>
          <w:szCs w:val="24"/>
        </w:rPr>
        <w:t xml:space="preserve">“The bill we are marking up today is the product of a thorough, robust process, and honest, bipartisan negotiations. </w:t>
      </w:r>
    </w:p>
    <w:p w:rsidR="00856B4F" w:rsidRDefault="00856B4F" w:rsidP="00856B4F">
      <w:pPr>
        <w:spacing w:after="0" w:line="240" w:lineRule="auto"/>
        <w:rPr>
          <w:rFonts w:ascii="Arial" w:hAnsi="Arial" w:cs="Arial"/>
          <w:bCs/>
          <w:sz w:val="24"/>
          <w:szCs w:val="24"/>
        </w:rPr>
      </w:pPr>
    </w:p>
    <w:p w:rsidR="00856B4F" w:rsidRDefault="00856B4F" w:rsidP="00856B4F">
      <w:pPr>
        <w:spacing w:after="0" w:line="240" w:lineRule="auto"/>
        <w:rPr>
          <w:rFonts w:ascii="Arial" w:hAnsi="Arial" w:cs="Arial"/>
          <w:bCs/>
          <w:sz w:val="24"/>
          <w:szCs w:val="24"/>
        </w:rPr>
      </w:pPr>
      <w:r>
        <w:rPr>
          <w:rFonts w:ascii="Arial" w:hAnsi="Arial" w:cs="Arial"/>
          <w:bCs/>
          <w:sz w:val="24"/>
          <w:szCs w:val="24"/>
        </w:rPr>
        <w:t>“All of the sponsors have worked in good faith to include provisions from those who have offered them, including those who do not support the bill. And we will continue to do so after this markup.</w:t>
      </w:r>
    </w:p>
    <w:p w:rsidR="00856B4F" w:rsidRDefault="00856B4F" w:rsidP="00856B4F">
      <w:pPr>
        <w:spacing w:after="0" w:line="240" w:lineRule="auto"/>
        <w:rPr>
          <w:rFonts w:ascii="Arial" w:hAnsi="Arial" w:cs="Arial"/>
          <w:bCs/>
          <w:sz w:val="24"/>
          <w:szCs w:val="24"/>
        </w:rPr>
      </w:pPr>
    </w:p>
    <w:p w:rsidR="00856B4F" w:rsidRDefault="00856B4F" w:rsidP="00856B4F">
      <w:pPr>
        <w:spacing w:after="0" w:line="240" w:lineRule="auto"/>
        <w:rPr>
          <w:rFonts w:ascii="Arial" w:hAnsi="Arial" w:cs="Arial"/>
          <w:bCs/>
          <w:sz w:val="24"/>
          <w:szCs w:val="24"/>
        </w:rPr>
      </w:pPr>
      <w:r>
        <w:rPr>
          <w:rFonts w:ascii="Arial" w:hAnsi="Arial" w:cs="Arial"/>
          <w:bCs/>
          <w:sz w:val="24"/>
          <w:szCs w:val="24"/>
        </w:rPr>
        <w:t xml:space="preserve">“The reforms in this bipartisan bill help tailor the current regulatory landscape, while ensuring safety and soundness and relieving the burden on American businesses that are unfairly being treated like the largest companies in our economy.   </w:t>
      </w:r>
    </w:p>
    <w:p w:rsidR="00856B4F" w:rsidRDefault="00856B4F" w:rsidP="00856B4F">
      <w:pPr>
        <w:spacing w:after="0" w:line="240" w:lineRule="auto"/>
        <w:rPr>
          <w:rFonts w:ascii="Arial" w:hAnsi="Arial" w:cs="Arial"/>
          <w:bCs/>
          <w:sz w:val="24"/>
          <w:szCs w:val="24"/>
        </w:rPr>
      </w:pPr>
    </w:p>
    <w:p w:rsidR="007F4D4D" w:rsidRPr="00397967" w:rsidRDefault="00856B4F" w:rsidP="007F4D4D">
      <w:pPr>
        <w:spacing w:after="0" w:line="240" w:lineRule="auto"/>
        <w:rPr>
          <w:rFonts w:ascii="Arial" w:hAnsi="Arial" w:cs="Arial"/>
          <w:sz w:val="24"/>
          <w:szCs w:val="24"/>
        </w:rPr>
      </w:pPr>
      <w:r>
        <w:rPr>
          <w:rFonts w:ascii="Arial" w:hAnsi="Arial" w:cs="Arial"/>
          <w:bCs/>
          <w:sz w:val="24"/>
          <w:szCs w:val="24"/>
        </w:rPr>
        <w:t>“The passage of this legislation holds real promise for families across America, and I look forward to marking up this bill today and moving it onto the Senate Floor.”</w:t>
      </w:r>
      <w:bookmarkStart w:id="0" w:name="_GoBack"/>
      <w:bookmarkEnd w:id="0"/>
    </w:p>
    <w:p w:rsidR="002829DD" w:rsidRPr="00EB2C24" w:rsidRDefault="002829DD" w:rsidP="002829DD">
      <w:pPr>
        <w:spacing w:after="0" w:line="240" w:lineRule="auto"/>
        <w:rPr>
          <w:rFonts w:ascii="Arial" w:hAnsi="Arial" w:cs="Arial"/>
          <w:sz w:val="24"/>
          <w:szCs w:val="52"/>
        </w:rPr>
      </w:pPr>
    </w:p>
    <w:p w:rsidR="002829DD" w:rsidRPr="00EB2C24" w:rsidRDefault="002829DD" w:rsidP="002829DD">
      <w:pPr>
        <w:spacing w:after="0" w:line="240" w:lineRule="auto"/>
        <w:rPr>
          <w:rFonts w:ascii="Arial" w:hAnsi="Arial" w:cs="Arial"/>
          <w:sz w:val="24"/>
          <w:szCs w:val="52"/>
        </w:rPr>
      </w:pPr>
    </w:p>
    <w:p w:rsidR="003410FE" w:rsidRPr="00EB2C24" w:rsidRDefault="003410FE" w:rsidP="0003429A">
      <w:pPr>
        <w:spacing w:after="0" w:line="240" w:lineRule="auto"/>
        <w:jc w:val="center"/>
        <w:rPr>
          <w:rFonts w:ascii="Arial" w:hAnsi="Arial" w:cs="Arial"/>
          <w:sz w:val="24"/>
          <w:szCs w:val="24"/>
        </w:rPr>
      </w:pPr>
      <w:r w:rsidRPr="00EB2C24">
        <w:rPr>
          <w:rFonts w:ascii="Arial" w:hAnsi="Arial" w:cs="Arial"/>
          <w:sz w:val="24"/>
          <w:szCs w:val="52"/>
        </w:rPr>
        <w:t>###</w:t>
      </w:r>
    </w:p>
    <w:sectPr w:rsidR="003410FE" w:rsidRPr="00EB2C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F37" w:rsidRDefault="00EE7F37" w:rsidP="00C2353A">
      <w:pPr>
        <w:spacing w:after="0" w:line="240" w:lineRule="auto"/>
      </w:pPr>
      <w:r>
        <w:separator/>
      </w:r>
    </w:p>
  </w:endnote>
  <w:endnote w:type="continuationSeparator" w:id="0">
    <w:p w:rsidR="00EE7F37" w:rsidRDefault="00EE7F37" w:rsidP="00C2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D4D" w:rsidRDefault="007F4D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894853"/>
      <w:docPartObj>
        <w:docPartGallery w:val="Page Numbers (Bottom of Page)"/>
        <w:docPartUnique/>
      </w:docPartObj>
    </w:sdtPr>
    <w:sdtEndPr>
      <w:rPr>
        <w:noProof/>
      </w:rPr>
    </w:sdtEndPr>
    <w:sdtContent>
      <w:p w:rsidR="00A03CAB" w:rsidRDefault="00A03CAB">
        <w:pPr>
          <w:pStyle w:val="Footer"/>
          <w:jc w:val="center"/>
        </w:pPr>
        <w:r>
          <w:fldChar w:fldCharType="begin"/>
        </w:r>
        <w:r>
          <w:instrText xml:space="preserve"> PAGE   \* MERGEFORMAT </w:instrText>
        </w:r>
        <w:r>
          <w:fldChar w:fldCharType="separate"/>
        </w:r>
        <w:r w:rsidR="00397967">
          <w:rPr>
            <w:noProof/>
          </w:rPr>
          <w:t>2</w:t>
        </w:r>
        <w:r>
          <w:rPr>
            <w:noProof/>
          </w:rPr>
          <w:fldChar w:fldCharType="end"/>
        </w:r>
      </w:p>
    </w:sdtContent>
  </w:sdt>
  <w:p w:rsidR="00A03CAB" w:rsidRDefault="00A03C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D4D" w:rsidRDefault="007F4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F37" w:rsidRDefault="00EE7F37" w:rsidP="00C2353A">
      <w:pPr>
        <w:spacing w:after="0" w:line="240" w:lineRule="auto"/>
      </w:pPr>
      <w:r>
        <w:separator/>
      </w:r>
    </w:p>
  </w:footnote>
  <w:footnote w:type="continuationSeparator" w:id="0">
    <w:p w:rsidR="00EE7F37" w:rsidRDefault="00EE7F37" w:rsidP="00C23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D4D" w:rsidRDefault="007F4D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Statement of Senator Mike Crapo</w:t>
    </w:r>
  </w:p>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Committee on Banking, Housing, and Urban Affairs</w:t>
    </w:r>
  </w:p>
  <w:p w:rsidR="00C2353A" w:rsidRDefault="007F4D4D" w:rsidP="00C2353A">
    <w:pPr>
      <w:pStyle w:val="Header"/>
      <w:jc w:val="center"/>
      <w:rPr>
        <w:rFonts w:ascii="Arial" w:hAnsi="Arial" w:cs="Arial"/>
        <w:b/>
        <w:sz w:val="28"/>
        <w:szCs w:val="28"/>
      </w:rPr>
    </w:pPr>
    <w:r>
      <w:rPr>
        <w:rFonts w:ascii="Arial" w:hAnsi="Arial" w:cs="Arial"/>
        <w:b/>
        <w:sz w:val="28"/>
        <w:szCs w:val="28"/>
      </w:rPr>
      <w:t>December 5</w:t>
    </w:r>
    <w:r w:rsidR="00C2353A" w:rsidRPr="001B5827">
      <w:rPr>
        <w:rFonts w:ascii="Arial" w:hAnsi="Arial" w:cs="Arial"/>
        <w:b/>
        <w:sz w:val="28"/>
        <w:szCs w:val="28"/>
      </w:rPr>
      <w:t>, 2017</w:t>
    </w:r>
  </w:p>
  <w:p w:rsidR="00C2353A" w:rsidRDefault="00C2353A">
    <w:pPr>
      <w:pStyle w:val="Header"/>
    </w:pPr>
  </w:p>
  <w:p w:rsidR="00C2353A" w:rsidRDefault="00C235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D4D" w:rsidRDefault="007F4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61B"/>
    <w:multiLevelType w:val="hybridMultilevel"/>
    <w:tmpl w:val="CD4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96FA1"/>
    <w:multiLevelType w:val="hybridMultilevel"/>
    <w:tmpl w:val="7C647264"/>
    <w:lvl w:ilvl="0" w:tplc="022CB6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C537C"/>
    <w:multiLevelType w:val="hybridMultilevel"/>
    <w:tmpl w:val="03DE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F02EB"/>
    <w:multiLevelType w:val="hybridMultilevel"/>
    <w:tmpl w:val="2EE69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B80F7E"/>
    <w:multiLevelType w:val="hybridMultilevel"/>
    <w:tmpl w:val="FB96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633235"/>
    <w:multiLevelType w:val="hybridMultilevel"/>
    <w:tmpl w:val="8BEE9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9C12F26"/>
    <w:multiLevelType w:val="hybridMultilevel"/>
    <w:tmpl w:val="2EE6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2"/>
  </w:num>
  <w:num w:numId="6">
    <w:abstractNumId w:val="3"/>
  </w:num>
  <w:num w:numId="7">
    <w:abstractNumId w:val="4"/>
  </w:num>
  <w:num w:numId="8">
    <w:abstractNumId w:val="6"/>
  </w:num>
  <w:num w:numId="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3A"/>
    <w:rsid w:val="0003429A"/>
    <w:rsid w:val="000C585D"/>
    <w:rsid w:val="00147D0A"/>
    <w:rsid w:val="001631C1"/>
    <w:rsid w:val="00192E82"/>
    <w:rsid w:val="001A6493"/>
    <w:rsid w:val="001D167E"/>
    <w:rsid w:val="00217DC8"/>
    <w:rsid w:val="002829DD"/>
    <w:rsid w:val="002C06B6"/>
    <w:rsid w:val="002C58FA"/>
    <w:rsid w:val="002C6A5F"/>
    <w:rsid w:val="002D3F57"/>
    <w:rsid w:val="002E01AB"/>
    <w:rsid w:val="003216A6"/>
    <w:rsid w:val="00330EFE"/>
    <w:rsid w:val="003410FE"/>
    <w:rsid w:val="00344EAF"/>
    <w:rsid w:val="003734B1"/>
    <w:rsid w:val="00373CFA"/>
    <w:rsid w:val="00382FFB"/>
    <w:rsid w:val="0038384D"/>
    <w:rsid w:val="00397967"/>
    <w:rsid w:val="003A2781"/>
    <w:rsid w:val="003C78A3"/>
    <w:rsid w:val="003D23EE"/>
    <w:rsid w:val="003E29E5"/>
    <w:rsid w:val="00416AD4"/>
    <w:rsid w:val="00475279"/>
    <w:rsid w:val="00483E87"/>
    <w:rsid w:val="004E029A"/>
    <w:rsid w:val="004E206B"/>
    <w:rsid w:val="00507165"/>
    <w:rsid w:val="00510436"/>
    <w:rsid w:val="00565541"/>
    <w:rsid w:val="005711E5"/>
    <w:rsid w:val="005E373E"/>
    <w:rsid w:val="005F1743"/>
    <w:rsid w:val="00611269"/>
    <w:rsid w:val="00633069"/>
    <w:rsid w:val="0066647A"/>
    <w:rsid w:val="00684C93"/>
    <w:rsid w:val="0069106A"/>
    <w:rsid w:val="006C6E48"/>
    <w:rsid w:val="006C7B51"/>
    <w:rsid w:val="006E6778"/>
    <w:rsid w:val="007859C7"/>
    <w:rsid w:val="007C2D65"/>
    <w:rsid w:val="007D256F"/>
    <w:rsid w:val="007D419A"/>
    <w:rsid w:val="007F4D4D"/>
    <w:rsid w:val="008345F7"/>
    <w:rsid w:val="00856B4F"/>
    <w:rsid w:val="008A7309"/>
    <w:rsid w:val="00913A75"/>
    <w:rsid w:val="00924867"/>
    <w:rsid w:val="00934E1D"/>
    <w:rsid w:val="009563FC"/>
    <w:rsid w:val="009720DA"/>
    <w:rsid w:val="009D233C"/>
    <w:rsid w:val="00A03CAB"/>
    <w:rsid w:val="00A16012"/>
    <w:rsid w:val="00A6662F"/>
    <w:rsid w:val="00A72C1D"/>
    <w:rsid w:val="00A81B70"/>
    <w:rsid w:val="00A90008"/>
    <w:rsid w:val="00B5336B"/>
    <w:rsid w:val="00B67769"/>
    <w:rsid w:val="00B90DC1"/>
    <w:rsid w:val="00BB0470"/>
    <w:rsid w:val="00BB2301"/>
    <w:rsid w:val="00BC261F"/>
    <w:rsid w:val="00BD0035"/>
    <w:rsid w:val="00C2353A"/>
    <w:rsid w:val="00C805A4"/>
    <w:rsid w:val="00CD0B41"/>
    <w:rsid w:val="00CE2BC5"/>
    <w:rsid w:val="00D25DA7"/>
    <w:rsid w:val="00D608E3"/>
    <w:rsid w:val="00D6444A"/>
    <w:rsid w:val="00DB7416"/>
    <w:rsid w:val="00DC52E1"/>
    <w:rsid w:val="00DF7F67"/>
    <w:rsid w:val="00E24DA6"/>
    <w:rsid w:val="00E47952"/>
    <w:rsid w:val="00E96C31"/>
    <w:rsid w:val="00EB2C24"/>
    <w:rsid w:val="00ED3FEB"/>
    <w:rsid w:val="00EE7F37"/>
    <w:rsid w:val="00F33C14"/>
    <w:rsid w:val="00F4634D"/>
    <w:rsid w:val="00F52AB0"/>
    <w:rsid w:val="00FC4F1D"/>
    <w:rsid w:val="00FD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5322E"/>
  <w15:chartTrackingRefBased/>
  <w15:docId w15:val="{E61552E6-227B-4596-B559-454FA499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53A"/>
  </w:style>
  <w:style w:type="paragraph" w:styleId="Footer">
    <w:name w:val="footer"/>
    <w:basedOn w:val="Normal"/>
    <w:link w:val="FooterChar"/>
    <w:uiPriority w:val="99"/>
    <w:unhideWhenUsed/>
    <w:rsid w:val="00C23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53A"/>
  </w:style>
  <w:style w:type="paragraph" w:styleId="ListParagraph">
    <w:name w:val="List Paragraph"/>
    <w:basedOn w:val="Normal"/>
    <w:uiPriority w:val="34"/>
    <w:qFormat/>
    <w:rsid w:val="00C2353A"/>
    <w:pPr>
      <w:ind w:left="720"/>
      <w:contextualSpacing/>
    </w:pPr>
  </w:style>
  <w:style w:type="paragraph" w:styleId="BalloonText">
    <w:name w:val="Balloon Text"/>
    <w:basedOn w:val="Normal"/>
    <w:link w:val="BalloonTextChar"/>
    <w:uiPriority w:val="99"/>
    <w:semiHidden/>
    <w:unhideWhenUsed/>
    <w:rsid w:val="00383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56589">
      <w:bodyDiv w:val="1"/>
      <w:marLeft w:val="0"/>
      <w:marRight w:val="0"/>
      <w:marTop w:val="0"/>
      <w:marBottom w:val="0"/>
      <w:divBdr>
        <w:top w:val="none" w:sz="0" w:space="0" w:color="auto"/>
        <w:left w:val="none" w:sz="0" w:space="0" w:color="auto"/>
        <w:bottom w:val="none" w:sz="0" w:space="0" w:color="auto"/>
        <w:right w:val="none" w:sz="0" w:space="0" w:color="auto"/>
      </w:divBdr>
    </w:div>
    <w:div w:id="212237861">
      <w:bodyDiv w:val="1"/>
      <w:marLeft w:val="0"/>
      <w:marRight w:val="0"/>
      <w:marTop w:val="0"/>
      <w:marBottom w:val="0"/>
      <w:divBdr>
        <w:top w:val="none" w:sz="0" w:space="0" w:color="auto"/>
        <w:left w:val="none" w:sz="0" w:space="0" w:color="auto"/>
        <w:bottom w:val="none" w:sz="0" w:space="0" w:color="auto"/>
        <w:right w:val="none" w:sz="0" w:space="0" w:color="auto"/>
      </w:divBdr>
    </w:div>
    <w:div w:id="385764428">
      <w:bodyDiv w:val="1"/>
      <w:marLeft w:val="0"/>
      <w:marRight w:val="0"/>
      <w:marTop w:val="0"/>
      <w:marBottom w:val="0"/>
      <w:divBdr>
        <w:top w:val="none" w:sz="0" w:space="0" w:color="auto"/>
        <w:left w:val="none" w:sz="0" w:space="0" w:color="auto"/>
        <w:bottom w:val="none" w:sz="0" w:space="0" w:color="auto"/>
        <w:right w:val="none" w:sz="0" w:space="0" w:color="auto"/>
      </w:divBdr>
    </w:div>
    <w:div w:id="834225827">
      <w:bodyDiv w:val="1"/>
      <w:marLeft w:val="0"/>
      <w:marRight w:val="0"/>
      <w:marTop w:val="0"/>
      <w:marBottom w:val="0"/>
      <w:divBdr>
        <w:top w:val="none" w:sz="0" w:space="0" w:color="auto"/>
        <w:left w:val="none" w:sz="0" w:space="0" w:color="auto"/>
        <w:bottom w:val="none" w:sz="0" w:space="0" w:color="auto"/>
        <w:right w:val="none" w:sz="0" w:space="0" w:color="auto"/>
      </w:divBdr>
    </w:div>
    <w:div w:id="893085977">
      <w:bodyDiv w:val="1"/>
      <w:marLeft w:val="0"/>
      <w:marRight w:val="0"/>
      <w:marTop w:val="0"/>
      <w:marBottom w:val="0"/>
      <w:divBdr>
        <w:top w:val="none" w:sz="0" w:space="0" w:color="auto"/>
        <w:left w:val="none" w:sz="0" w:space="0" w:color="auto"/>
        <w:bottom w:val="none" w:sz="0" w:space="0" w:color="auto"/>
        <w:right w:val="none" w:sz="0" w:space="0" w:color="auto"/>
      </w:divBdr>
    </w:div>
    <w:div w:id="1102604425">
      <w:bodyDiv w:val="1"/>
      <w:marLeft w:val="0"/>
      <w:marRight w:val="0"/>
      <w:marTop w:val="0"/>
      <w:marBottom w:val="0"/>
      <w:divBdr>
        <w:top w:val="none" w:sz="0" w:space="0" w:color="auto"/>
        <w:left w:val="none" w:sz="0" w:space="0" w:color="auto"/>
        <w:bottom w:val="none" w:sz="0" w:space="0" w:color="auto"/>
        <w:right w:val="none" w:sz="0" w:space="0" w:color="auto"/>
      </w:divBdr>
    </w:div>
    <w:div w:id="1158426178">
      <w:bodyDiv w:val="1"/>
      <w:marLeft w:val="0"/>
      <w:marRight w:val="0"/>
      <w:marTop w:val="0"/>
      <w:marBottom w:val="0"/>
      <w:divBdr>
        <w:top w:val="none" w:sz="0" w:space="0" w:color="auto"/>
        <w:left w:val="none" w:sz="0" w:space="0" w:color="auto"/>
        <w:bottom w:val="none" w:sz="0" w:space="0" w:color="auto"/>
        <w:right w:val="none" w:sz="0" w:space="0" w:color="auto"/>
      </w:divBdr>
    </w:div>
    <w:div w:id="1308627360">
      <w:bodyDiv w:val="1"/>
      <w:marLeft w:val="0"/>
      <w:marRight w:val="0"/>
      <w:marTop w:val="0"/>
      <w:marBottom w:val="0"/>
      <w:divBdr>
        <w:top w:val="none" w:sz="0" w:space="0" w:color="auto"/>
        <w:left w:val="none" w:sz="0" w:space="0" w:color="auto"/>
        <w:bottom w:val="none" w:sz="0" w:space="0" w:color="auto"/>
        <w:right w:val="none" w:sz="0" w:space="0" w:color="auto"/>
      </w:divBdr>
    </w:div>
    <w:div w:id="1396318595">
      <w:bodyDiv w:val="1"/>
      <w:marLeft w:val="0"/>
      <w:marRight w:val="0"/>
      <w:marTop w:val="0"/>
      <w:marBottom w:val="0"/>
      <w:divBdr>
        <w:top w:val="none" w:sz="0" w:space="0" w:color="auto"/>
        <w:left w:val="none" w:sz="0" w:space="0" w:color="auto"/>
        <w:bottom w:val="none" w:sz="0" w:space="0" w:color="auto"/>
        <w:right w:val="none" w:sz="0" w:space="0" w:color="auto"/>
      </w:divBdr>
    </w:div>
    <w:div w:id="1415515145">
      <w:bodyDiv w:val="1"/>
      <w:marLeft w:val="0"/>
      <w:marRight w:val="0"/>
      <w:marTop w:val="0"/>
      <w:marBottom w:val="0"/>
      <w:divBdr>
        <w:top w:val="none" w:sz="0" w:space="0" w:color="auto"/>
        <w:left w:val="none" w:sz="0" w:space="0" w:color="auto"/>
        <w:bottom w:val="none" w:sz="0" w:space="0" w:color="auto"/>
        <w:right w:val="none" w:sz="0" w:space="0" w:color="auto"/>
      </w:divBdr>
    </w:div>
    <w:div w:id="1472357334">
      <w:bodyDiv w:val="1"/>
      <w:marLeft w:val="0"/>
      <w:marRight w:val="0"/>
      <w:marTop w:val="0"/>
      <w:marBottom w:val="0"/>
      <w:divBdr>
        <w:top w:val="none" w:sz="0" w:space="0" w:color="auto"/>
        <w:left w:val="none" w:sz="0" w:space="0" w:color="auto"/>
        <w:bottom w:val="none" w:sz="0" w:space="0" w:color="auto"/>
        <w:right w:val="none" w:sz="0" w:space="0" w:color="auto"/>
      </w:divBdr>
    </w:div>
    <w:div w:id="1653212679">
      <w:bodyDiv w:val="1"/>
      <w:marLeft w:val="0"/>
      <w:marRight w:val="0"/>
      <w:marTop w:val="0"/>
      <w:marBottom w:val="0"/>
      <w:divBdr>
        <w:top w:val="none" w:sz="0" w:space="0" w:color="auto"/>
        <w:left w:val="none" w:sz="0" w:space="0" w:color="auto"/>
        <w:bottom w:val="none" w:sz="0" w:space="0" w:color="auto"/>
        <w:right w:val="none" w:sz="0" w:space="0" w:color="auto"/>
      </w:divBdr>
    </w:div>
    <w:div w:id="1794900441">
      <w:bodyDiv w:val="1"/>
      <w:marLeft w:val="0"/>
      <w:marRight w:val="0"/>
      <w:marTop w:val="0"/>
      <w:marBottom w:val="0"/>
      <w:divBdr>
        <w:top w:val="none" w:sz="0" w:space="0" w:color="auto"/>
        <w:left w:val="none" w:sz="0" w:space="0" w:color="auto"/>
        <w:bottom w:val="none" w:sz="0" w:space="0" w:color="auto"/>
        <w:right w:val="none" w:sz="0" w:space="0" w:color="auto"/>
      </w:divBdr>
    </w:div>
    <w:div w:id="1872497186">
      <w:bodyDiv w:val="1"/>
      <w:marLeft w:val="0"/>
      <w:marRight w:val="0"/>
      <w:marTop w:val="0"/>
      <w:marBottom w:val="0"/>
      <w:divBdr>
        <w:top w:val="none" w:sz="0" w:space="0" w:color="auto"/>
        <w:left w:val="none" w:sz="0" w:space="0" w:color="auto"/>
        <w:bottom w:val="none" w:sz="0" w:space="0" w:color="auto"/>
        <w:right w:val="none" w:sz="0" w:space="0" w:color="auto"/>
      </w:divBdr>
    </w:div>
    <w:div w:id="2002347114">
      <w:bodyDiv w:val="1"/>
      <w:marLeft w:val="0"/>
      <w:marRight w:val="0"/>
      <w:marTop w:val="0"/>
      <w:marBottom w:val="0"/>
      <w:divBdr>
        <w:top w:val="none" w:sz="0" w:space="0" w:color="auto"/>
        <w:left w:val="none" w:sz="0" w:space="0" w:color="auto"/>
        <w:bottom w:val="none" w:sz="0" w:space="0" w:color="auto"/>
        <w:right w:val="none" w:sz="0" w:space="0" w:color="auto"/>
      </w:divBdr>
    </w:div>
    <w:div w:id="214233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A88DA-AF7A-4EA0-AE2B-3F81A94A6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Jared (Banking)</dc:creator>
  <cp:keywords/>
  <dc:description/>
  <cp:lastModifiedBy>Critchfield, Amanda (Banking)</cp:lastModifiedBy>
  <cp:revision>4</cp:revision>
  <cp:lastPrinted>2017-03-22T19:17:00Z</cp:lastPrinted>
  <dcterms:created xsi:type="dcterms:W3CDTF">2017-12-02T17:06:00Z</dcterms:created>
  <dcterms:modified xsi:type="dcterms:W3CDTF">2017-12-05T15:05:00Z</dcterms:modified>
</cp:coreProperties>
</file>